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EE" w:rsidRDefault="00F64163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00171" cy="533382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0171" cy="533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0pt;" stroked="f">
                <v:path textboxrect="0,0,0,0"/>
                <v:imagedata r:id="rId10" o:title=""/>
              </v:shape>
            </w:pict>
          </mc:Fallback>
        </mc:AlternateContent>
      </w:r>
    </w:p>
    <w:p w:rsidR="004C1AEE" w:rsidRDefault="00F64163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Україна</w:t>
      </w:r>
    </w:p>
    <w:p w:rsidR="004C1AEE" w:rsidRDefault="00F64163">
      <w:pPr>
        <w:spacing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4C1AEE" w:rsidRDefault="00F64163">
      <w:pPr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РОЗПОРЯДЖЕННЯ</w:t>
      </w:r>
    </w:p>
    <w:p w:rsidR="004C1AEE" w:rsidRDefault="004C1AEE">
      <w:pPr>
        <w:rPr>
          <w:rFonts w:ascii="Times New Roman" w:eastAsia="Times New Roman" w:hAnsi="Times New Roman"/>
          <w:spacing w:val="20"/>
          <w:sz w:val="28"/>
          <w:szCs w:val="28"/>
          <w:lang w:eastAsia="ar-SA"/>
        </w:rPr>
      </w:pPr>
    </w:p>
    <w:p w:rsidR="004C1AEE" w:rsidRDefault="00D41E6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F64163">
        <w:rPr>
          <w:rFonts w:ascii="Times New Roman" w:hAnsi="Times New Roman"/>
          <w:sz w:val="28"/>
          <w:szCs w:val="28"/>
        </w:rPr>
        <w:t xml:space="preserve"> жовтня 2021 року</w:t>
      </w:r>
      <w:r w:rsidR="00F641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м. Новгород - Сіверський                        № 193 - ОД</w:t>
      </w:r>
    </w:p>
    <w:p w:rsidR="004C1AEE" w:rsidRDefault="004C1A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AEE" w:rsidRDefault="00F64163">
      <w:pPr>
        <w:tabs>
          <w:tab w:val="left" w:pos="93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скликання  сесії</w:t>
      </w:r>
    </w:p>
    <w:p w:rsidR="004C1AEE" w:rsidRDefault="004C1AEE">
      <w:pPr>
        <w:tabs>
          <w:tab w:val="left" w:pos="9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AEE" w:rsidRDefault="00F64163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 до   статей 42,  46 та 59   Закону     України       «Про місцеве                   самоврядування в Україні», Регламенту міської ради,</w:t>
      </w:r>
    </w:p>
    <w:p w:rsidR="004C1AEE" w:rsidRDefault="00F64163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AEE" w:rsidRDefault="00F64163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Вважаю за необхідне:</w:t>
      </w:r>
    </w:p>
    <w:p w:rsidR="004C1AEE" w:rsidRDefault="00F64163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Скликати  тринадцяту   сесію   міської  ради VIІI  скликання  26 жовтня   2021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  о  11-00  годині  в  залі засідань відділу освіти міської  ради  по     вул. Губернській, буд.32А.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AEE" w:rsidRDefault="004C1AEE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Внести до порядку денного тринадцятої   сесії міської ради                 VIIІ скликання наступні питання: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Про внесення змін до структури, заг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альної чисельності апарату та      виконавчих органів Новгород-Сіверської міської ради.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 затвердження  Положення про відділ інвестицій та комунального майна Новгород-Сіверської міської ради Чернігівської області.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  затвердження  структури та загальної чисельності благоустрою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Новгород-Сіверської міської ради.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погодження структури та загальної чисельності  КП «Горбівське»  і КП «Троїцьке».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   внесення   змін   до   Програми   боротьби    з   онкол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огічними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захворюваннями на 2021-2025 роки.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Про надання дозволу КНП «Новгород-Сіверський міський Центр ПМСД» на придбання службового легкового автомобіля.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 внесення змін до Програми забезпечення покращення якості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надання    медичної    допомоги    населенню    Новгород-Сіверської    міської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територіальної громади на 2021 рік , затвердженої рішенням 66-ої сесії міської ради VII скликання від 08 грудня 2020 року № 1239.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 внесення змін до фінансового плану КНП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«Новгород-Сіверська ЦМЛ»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2021 рік.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Про затвердження  Статуту КНП «Новгород-Сіверська ЦМЛ» в новій редакції.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Про  внесення  змін  до  Програми забезпечення діяльності місцевої пожежної охорони в сільській місцевості на території Новгород-Сіверсько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     міської  територіальної громади на 2021 рік,затвердженої рішенням 66-ої сесії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міської ради VII скликання від 08 грудня 2021 року № 1245.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Про поновлення договорів встановлення особистого строкового      сервітуту.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Про  розроблення  детального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плану  території  земельної   ділянки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межами села Горбове.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Про затвердження Програми з підвищення  ефективності    управління   активами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Новгород-Сіверської міської територіальної громади на 2021-        2025 роки.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 w:bidi="uk-UA"/>
        </w:rPr>
        <w:t xml:space="preserve"> Про затвердження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ереліків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об’єктів оренди комунального майна та переліку підприємств, установ, організацій, що надають соціально важливі     послуги населенню.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Про передачу в господарське відання та на баланс КП «Вороб’ївське»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 w:bidi="uk-UA"/>
        </w:rPr>
      </w:pPr>
      <w:r>
        <w:rPr>
          <w:rFonts w:ascii="Times New Roman" w:eastAsia="Times New Roman" w:hAnsi="Times New Roman"/>
          <w:sz w:val="28"/>
          <w:szCs w:val="28"/>
          <w:lang w:eastAsia="ru-RU" w:bidi="uk-UA"/>
        </w:rPr>
        <w:t>комунального майна Новгород-Сіверської міської тер</w:t>
      </w:r>
      <w:r>
        <w:rPr>
          <w:rFonts w:ascii="Times New Roman" w:eastAsia="Times New Roman" w:hAnsi="Times New Roman"/>
          <w:sz w:val="28"/>
          <w:szCs w:val="28"/>
          <w:lang w:eastAsia="ru-RU" w:bidi="uk-UA"/>
        </w:rPr>
        <w:t>иторіальної громади.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Про  прийняття  пропозиції придбання нерухомого майна.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надання згоди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 безоплатне прийняття транспортного  засобу</w:t>
      </w:r>
    </w:p>
    <w:p w:rsidR="004C1AEE" w:rsidRDefault="00F64163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комунальну власність територіальної громади.                           </w:t>
      </w:r>
    </w:p>
    <w:p w:rsidR="004C1AEE" w:rsidRDefault="00F64163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18. Про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твердження передавального акта  КП  «Будо-Вороб’ївське».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Про затвердження передавального акта КП  «Печенюгівське».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Про затвердження передавальних актів  КП «Бучки»,                         КП «Ковпинське», КП «Михальчино-Слобідське».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Про затвер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дження передавальних актів КП «Команське»,                  КП «Об’єднанське».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22. Про затвердження передавальних актів КП «Рогівське»,                     КП «Мамекинське».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статуту КП  «Вороб'ївське» в новій редакції.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Про внесен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змін до Програми  (план дій) по проведенню робіт           з благоустрою  та  санітарної очистки  території  населених пунктів  Новгород-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Сіверської міської територіальної громади на 2021 рік,  затвердженої рішенням 66-ої сесії міської ради  VII скликан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від 08 грудня 2020 року № 1253.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 Про внесення змін до Програми відшкодування різниці в тарифах на послуги з централізованого водопостачання та водовідведення для населення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міста Новгорода-Сіверського в 2021 році, затвердженої рішенням 66-ої сесії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VІІ скликання від 08 грудня 2020 року № 1255.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Про  затвердження  Програми  придбання   в  комунальну власність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 громади   земельних  ділянок  та інших   об’єктів  нерухомого майна на 2021- 2022 роки.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затвердження переліку об’єктів комунальної власності Новгород-Сіверської міської ради, які підлягають приватизації у 2021 році.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затвердження об’єкта приватизації майна комунальної власності </w:t>
      </w:r>
    </w:p>
    <w:p w:rsidR="004C1AEE" w:rsidRDefault="00F64163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Новгород-Сіверської міської ради та складу аукціонно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ї комісії.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затвердження Положення про діяльність аукціонної комісії для продажу об'єктів малої приватизації комунальної власності Новгород-Сіверської міської ради.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 надання дозволу на передачу в оренду частини будівлі міської</w:t>
      </w:r>
    </w:p>
    <w:p w:rsidR="004C1AEE" w:rsidRDefault="00F64163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бібліотеки.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Про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внесення змін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Програми розвитку туризму Новгород-Сіверської міської об’єднаної територіальної громади на 2020-2021 роки.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Про ліквідацію Будо-Воробʼївської філії  Чайкинського   навчально-виховного комплексу Новгород-Сіверської  міської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Чернігівської області.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33. Про створення Будо-Вороб’ївського закладу  дошкільної  освіти     «Веселка» Новгород-Сіверської міської ради Чернігівської області.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Про ліквідацію Лісконогівської філії Грем’яцької  загальноосвітньої 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школи  І-ІІІ  ступенів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Новгород-Сіверської міської ради Чернігівської області.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35. Про внесення змін до штатної структури закладів освіти Новгород-Сіверської міської територіальної громади.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 Про внесення змін до структури та штатної чисельності відділу освіти, молоді та 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Новгород-Сіверської міської ради.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37. Про затвердження  Положення про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проведення  конкурсу  та            призначення на  посаду  керівників  закладів  загальної середньої освіти      Новгород-Сіверської міської ради  Чернігівської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ії.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38. Про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затвердження Положення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 відділ освіти, молоді та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Новгород-Сіверської міської  ради Чернігівської області в новій редакції.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39. Про затвердження старости.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40. Про затвердження Програми надання пільг на проїзд фельдшерам Новгород-Сіверської підстанції Корюківської станції екстреної медичної       допомоги та медицини катастроф КНП "Обласний центр екстреної медичної допомоги та медицини катастроф" Чернігівсько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 обласної ради до Грем'яцького пункту постійного базування бригад екстреної медичної допомоги на 2021 рік. 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41. Про    затвердження    Положення    про    громадські    слухання          в Новгород-Сіверській міській територіальній громаді.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42. Про  затве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рдження  Положення  про  порядок  подання  та розгляду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електронних    петицій,    адресованих    Новгород-Сіверській    міській    раді,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її виконавчим органам.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43. Про звернення Новгород-Сіверської міської ради Чернігівської        області до Чернігівськ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ої обласної ради щодо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забезпечення сировиною            деревообробників.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44. Про  розгляд  Прогнозу  бюджету Новгород-Сіверської    міської       територіальної громади на 2022-2024 роки (код бюджету 25539000000).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 внесення  змін  до  рішення 3-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ої позачергової  сесії міської ради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VIII скликання від  24  грудня  2020 року № 30 «Про бюджет Новгород-Сіверської міської  територіальної громади на 2021 рік (код бюджету 25539000000)».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46. Про утворення старостинських округів Новгород-Сіверської міської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громади.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47. Про затвердження технічної документації з нормативної грошової оцінки земель.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48. Про затвердження протоколів розподілу земельних ділянок.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49. Про затвердження технічної документації із землеустрою щодо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встановлення (відновлення) меж земельних ділянок в натурі (на місцевості) та передачу їх у власність.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50. Про затвердження технічної документації із землеустрою щодо     встановлення (відновлення) меж земельних ділянок в натурі (на місцевості).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51. Про зат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вердження технічної документації із землеустрою щодо     встановлення (відновлення) меж земельних ділянок в натурі (на місцевості) для ведення товарного сільськогосподарського виробництва Галенко Ю.М.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52. Про затвердження технічної документації із землеуст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рою щодо    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53. Про внесення змін до договору оренди землі №1 від 06.02.2020.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54. Про внесення змін до договорів оренди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55. Про внесення змін до рішень сесій.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56. Про  надання  дозволу  на  виготовлення технічної  документації  із  землеустрою щодо встановлення (відновлення) меж земельної  ділянки в натурі (на місцевості) для ведення  товарного сільськогосподарського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иробництва.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57. Про надання дозволу на виготовлення технічної документації із         землеустрою щодо встановлення (відновлення) меж земельної ділянки в натурі (на місцевості) АТ «Чернігівобленерго».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58. Про надання дозволу на виготовлення технічної докум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ентації із       землеустрою щодо встановлення (відновлення) меж земельної ділянки в натурі (на місцевості) АТ «Облтеплокомуненерго».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59. Про визначення переліку земельних ділянок  для обміну, взамін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вилучених у межах 50-метрової смуги вздовж лінії кордону.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60. Про затвердження проекту землеустрою щодо відведення земельної ділянки  та передачу її у власність.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61. Про затвердження проекту землеустрою щодо відведення земельної ділянки  та передачу її 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ласність Коваленку О.М.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62. Про затвердження проекту землеустрою щодо відведення земельної ділянки для ведення особистого селянського господарства та передачу її            у власність.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63. Про розгляд заяв щодо затвердження проекту землеустрою щодо  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ідведення  земельної ділянки та передачу її у власність.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64. Про розгляд заяв щодо затвердження проекту землеустрою щодо      відведення  земельної  ділянки  та  передачу  її  у   власність    Ворушилі Є.В.,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Ворушилі В.В.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65. Про розгляд заяв щодо затверд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ження проекту землеустрою щодо відведення земельної ділянки та передачу її у власність.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66. Про затвердження проекту  землеустрою щодо відведення  земельної ділянки в оренду.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67. Про надання в оренду  земельної ділянки.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68. Про розгляд заяви щодо затвердже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ння технічної документації із землеустрою  щодо встановлення (відновлення) меж земельних ділянок в натурі (на місцевості)  та передачу їх у  власність.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69. Про розгляд заяв щодо надання  дозволу на розробку проекту           землеустрою у власність  Копєйк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А.М., Копейко М.С.,  Копійку О.М.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70. Про  розгляд  заяв  щодо  надання   дозволу  на  розробку  проекту            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землеустрою у власність  Кейдуну П.П., Кейдуну Д.П., Кейдун В.І.,                Мельник Т.П.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71. Про розгляд заяви щодо надання  дозв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олу на розробку проекту         землеустрою у власність  Доропей М.С.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72. Про розгляд заяви щодо надання  дозволу на розробку проекту        землеустрою у власність  Лузган І.П.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73. Про розгляд заяви щодо надання  дозволу на розробку проекту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землеустрою у власність  Литвяк Д.О.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74. Про розгляд заяви щодо надання  дозволу на розробку проекту        землеустрою у власність  Литвяку В.В.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75. Про розгляд заяви щодо надання  дозволу на розробку проекту        землеустрою у власність  Лисаку М.Г.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76. Про розгляд заяв щодо надання  дозволу на розробку проекту           землеустрою у власність  Аникусько В.Г.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77. Про розгляд заяви щодо надання  дозволу на розробку проекту         землеустрою у власність  Желій О.О.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78. Про розгляд заяви щодо надан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  дозволу на розробку проекту        землеустрою у власність  Пороньку Ф.М.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79. Про розгляд заяви щодо надання  дозволу на розробку проекту        землеустрою у власність  Овчиннику В.Г.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80. Про розгляд заяв щодо надання  дозволу на розробку проекту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землеустрою у власність  Амосюк Ю.М.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81. Про розгляд заяви щодо надання  дозволу на розробку проекту        землеустрою у власність  Головановій Н.С.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82. Про розгляд заяви щодо надання  дозволу на розробку проекту        землеустрою у власність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Голованову А.П.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83. Про розгляд заяви щодо надання  дозволу на розробку проекту        землеустрою у власність  Карабану А.В.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84. Про розгляд заяви щодо надання  дозволу на розробку проекту        землеустрою у власність  Гущі Н.В.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85. Про розгляд заяв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надання  дозволу на розробку проекту           землеустрою у власність  Шевцову А.Г.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86. Про розгляд заяви щодо надання  дозволу на розробку проекту        землеустрою у власність  Помазу Є.Ю.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87. Про розгляд заяв щодо надання  дозволу на розробку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          землеустрою у власність  Савченко С.В., Савченку В.І.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88. Про розгляд заяв щодо надання дозволу на розробку проекту            землеустрою у власність Попелусі М.О., Попелусі О.М.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89. Про розгляд заяв щодо надання  дозволу на розробку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екту           землеустрою у власність  Ковальчуку Б.І., Ковальчуку І.О.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90. Про розгляд заяв щодо надання  дозволу на розробку проекту           землеустрою у власність  за межами с. Стахорщина.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91. Про розгляд заяви щодо надання  дозволу на розробку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екту         землеустрою у власність  Свистуну О.М.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92. Про  розгляд  заяви  щодо  надання   дозволу  на  розробку  проекту       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землеустрою у власність  Дятлу Л.М.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93. Про розгляд заяви щодо надання  дозволу на розробку проекту        землеустрою 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ласність  Зайченку В.В.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94. Про розгляд заяви щодо надання  дозволу на розробку проекту        землеустрою у власність  Міхеєнко М.М.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95. Про розгляд заяв щодо надання  дозволу на розробку проекту           землеустрою у власність  Кунцевському І.В., 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ушилі В.М.,  Гаману В.В.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96. Про розгляд заяв щодо надання  дозволу на розробку проекту           землеустрою у власність  Бірюк Ю.С., Скопенку В.Є., Бірюку В.С.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97. Про розгляд заяви щодо надання  дозволу на розробку проекту        землеустрою у власніс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 Середі О.А.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98. Про розгляд заяви щодо надання  дозволу на розробку проекту        землеустрою у власність  Жеребицькій В.І.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99. Про розгляд заяви щодо надання  дозволу на розробку проекту        землеустрою у власність  Щербаку М.В.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100. Про розгляд заяви щодо надання  дозволу на розробку проекту       землеустрою у власність  Чудесі В.Б.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101. Про розгляд заяви щодо надання  дозволу на розробку проекту       землеустрою у власність  Мицкану О.Я.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102. Про розгляд заяв щодо надання 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озволу на розробку проекту         землеустрою у власність  Буренку П.І., Скирті М.М., Наконечному І.О.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103. Про розгляд заяви щодо надання  дозволу на розробку проекту       землеустрою у власність  Бурді А.В.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104. Про розгляд заяви щодо надання  дозвол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на розробку проекту      землеустрою у власність  Сичовій О.В.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105. Про розгляд заяви щодо надання  дозволу на розробку проекту      землеустрою у власність  Скубі П.В.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106. Про розгляд заяви щодо надання  дозволу на розробку проекту      землеустрою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власність  Алдошину О.Ю.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107. Про розгляд заяв щодо надання  дозволу на розробку проекту         землеустрою у власність для  ведення особистого селянського господарства.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108. Про розгляд заяв щодо надання  дозволу на розробку проекту         землеустрою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власність  Шевченко В.В.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109. Про розгляд заяв щодо надання  дозволу на розробку проекту         землеустрою у власність  Сидорко Є.С.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110. Про розгляд заяв щодо надання  дозволу на розробку проекту         землеустрою у власність  Крись І.І., Лузган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Н.І.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111. Про розгляд заяв щодо надання  дозволу на розробку проекту         землеустрою у власність  Шилов В.М., Чередніченко С.О.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112. Про розгляд заяв щодо надання  дозволу на розробку проекту         землеустрою у власність  Андрос О. С., Андрос А.М.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Сімонов В.В., Кізя В.А.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113. Про надання дозволу на розробку  проекту землеустрою щодо        відведення  земельної ділянки у власність для ведення  товарного сільськогосподарського виробництва.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114. Про  надання  дозволу  на  розробку   проекту  землеу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строю  щодо         </w:t>
      </w: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відведення  земельної ділянки  для передачі  її в постійне користування.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115. Про розгляд заяви щодо надання дозволу  на розробку проекту      землеустрою  щодо відведення земельної ділянки для оформлення права         оренди.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116.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проекту землеустрою щодо відведення земельної ділянки  та передачу її у власність Бельдязі Л.М., Бельдязі Є.І., Бельдязі Л.Л., Шаповалову І.М., Шаповаловій О.Ю. </w:t>
      </w:r>
    </w:p>
    <w:p w:rsidR="004C1AEE" w:rsidRDefault="00F641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117. Про затвердження проекту землеустрою щодо відведення земельної ділянки 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передачу її у власність Коршун Л.М. Коршун А.А., Коршун І.М. </w:t>
      </w:r>
    </w:p>
    <w:p w:rsidR="004C1AEE" w:rsidRDefault="00F64163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AEE" w:rsidRDefault="00F64163">
      <w:pPr>
        <w:shd w:val="clear" w:color="auto" w:fill="FFFFFF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Контроль за виконанням розпорядження покласти на секретаря міської ради Лакозу Ю.В.</w:t>
      </w:r>
    </w:p>
    <w:p w:rsidR="004C1AEE" w:rsidRDefault="004C1AEE">
      <w:pPr>
        <w:jc w:val="both"/>
        <w:rPr>
          <w:rFonts w:ascii="Times New Roman" w:hAnsi="Times New Roman"/>
          <w:sz w:val="32"/>
          <w:szCs w:val="28"/>
        </w:rPr>
      </w:pPr>
    </w:p>
    <w:p w:rsidR="004C1AEE" w:rsidRDefault="004C1AEE">
      <w:pPr>
        <w:jc w:val="both"/>
        <w:rPr>
          <w:rFonts w:ascii="Times New Roman" w:hAnsi="Times New Roman"/>
          <w:sz w:val="32"/>
          <w:szCs w:val="28"/>
        </w:rPr>
      </w:pPr>
    </w:p>
    <w:p w:rsidR="004C1AEE" w:rsidRDefault="00F641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 Ткаченко</w:t>
      </w: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AEE" w:rsidRDefault="004C1AE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C1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63" w:rsidRDefault="00F64163">
      <w:r>
        <w:separator/>
      </w:r>
    </w:p>
  </w:endnote>
  <w:endnote w:type="continuationSeparator" w:id="0">
    <w:p w:rsidR="00F64163" w:rsidRDefault="00F6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63" w:rsidRDefault="00F64163">
      <w:r>
        <w:separator/>
      </w:r>
    </w:p>
  </w:footnote>
  <w:footnote w:type="continuationSeparator" w:id="0">
    <w:p w:rsidR="00F64163" w:rsidRDefault="00F6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4B7"/>
    <w:multiLevelType w:val="hybridMultilevel"/>
    <w:tmpl w:val="3E36F43C"/>
    <w:lvl w:ilvl="0" w:tplc="299EE00C">
      <w:start w:val="1"/>
      <w:numFmt w:val="decimal"/>
      <w:lvlText w:val="%1."/>
      <w:lvlJc w:val="left"/>
      <w:pPr>
        <w:ind w:left="1129" w:hanging="360"/>
      </w:pPr>
    </w:lvl>
    <w:lvl w:ilvl="1" w:tplc="CF92D108">
      <w:start w:val="1"/>
      <w:numFmt w:val="lowerLetter"/>
      <w:lvlText w:val="%2."/>
      <w:lvlJc w:val="left"/>
      <w:pPr>
        <w:ind w:left="1849" w:hanging="360"/>
      </w:pPr>
    </w:lvl>
    <w:lvl w:ilvl="2" w:tplc="D8A24C58">
      <w:start w:val="1"/>
      <w:numFmt w:val="lowerRoman"/>
      <w:lvlText w:val="%3."/>
      <w:lvlJc w:val="right"/>
      <w:pPr>
        <w:ind w:left="2569" w:hanging="180"/>
      </w:pPr>
    </w:lvl>
    <w:lvl w:ilvl="3" w:tplc="58C6214E">
      <w:start w:val="1"/>
      <w:numFmt w:val="decimal"/>
      <w:lvlText w:val="%4."/>
      <w:lvlJc w:val="left"/>
      <w:pPr>
        <w:ind w:left="3289" w:hanging="360"/>
      </w:pPr>
    </w:lvl>
    <w:lvl w:ilvl="4" w:tplc="1656446A">
      <w:start w:val="1"/>
      <w:numFmt w:val="lowerLetter"/>
      <w:lvlText w:val="%5."/>
      <w:lvlJc w:val="left"/>
      <w:pPr>
        <w:ind w:left="4009" w:hanging="360"/>
      </w:pPr>
    </w:lvl>
    <w:lvl w:ilvl="5" w:tplc="2BB29B38">
      <w:start w:val="1"/>
      <w:numFmt w:val="lowerRoman"/>
      <w:lvlText w:val="%6."/>
      <w:lvlJc w:val="right"/>
      <w:pPr>
        <w:ind w:left="4729" w:hanging="180"/>
      </w:pPr>
    </w:lvl>
    <w:lvl w:ilvl="6" w:tplc="45986468">
      <w:start w:val="1"/>
      <w:numFmt w:val="decimal"/>
      <w:lvlText w:val="%7."/>
      <w:lvlJc w:val="left"/>
      <w:pPr>
        <w:ind w:left="5449" w:hanging="360"/>
      </w:pPr>
    </w:lvl>
    <w:lvl w:ilvl="7" w:tplc="4AF61DDA">
      <w:start w:val="1"/>
      <w:numFmt w:val="lowerLetter"/>
      <w:lvlText w:val="%8."/>
      <w:lvlJc w:val="left"/>
      <w:pPr>
        <w:ind w:left="6169" w:hanging="360"/>
      </w:pPr>
    </w:lvl>
    <w:lvl w:ilvl="8" w:tplc="828EF2EE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EE"/>
    <w:rsid w:val="004C1AEE"/>
    <w:rsid w:val="00D41E64"/>
    <w:rsid w:val="00F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E202A-D815-4CCD-95CE-6F3019C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pPr>
      <w:spacing w:before="240" w:after="60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semiHidden/>
    <w:pPr>
      <w:spacing w:before="240" w:after="6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rPr>
      <w:sz w:val="32"/>
      <w:szCs w:val="32"/>
    </w:rPr>
  </w:style>
  <w:style w:type="paragraph" w:styleId="a5">
    <w:name w:val="Title"/>
    <w:basedOn w:val="a"/>
    <w:next w:val="a"/>
    <w:link w:val="a6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60"/>
      <w:jc w:val="center"/>
      <w:outlineLvl w:val="1"/>
    </w:pPr>
    <w:rPr>
      <w:rFonts w:ascii="Cambria" w:eastAsia="Times New Roman" w:hAnsi="Cambria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rPr>
      <w:i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pPr>
      <w:ind w:left="720" w:right="720"/>
    </w:pPr>
    <w:rPr>
      <w:b/>
      <w:i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semiHidden/>
    <w:pPr>
      <w:outlineLvl w:val="9"/>
    </w:pPr>
  </w:style>
  <w:style w:type="paragraph" w:styleId="af9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Pr>
      <w:b/>
      <w:bCs/>
    </w:rPr>
  </w:style>
  <w:style w:type="character" w:customStyle="1" w:styleId="70">
    <w:name w:val="Заголовок 7 Знак"/>
    <w:link w:val="7"/>
    <w:semiHidden/>
    <w:rPr>
      <w:sz w:val="24"/>
      <w:szCs w:val="24"/>
    </w:rPr>
  </w:style>
  <w:style w:type="character" w:customStyle="1" w:styleId="80">
    <w:name w:val="Заголовок 8 Знак"/>
    <w:link w:val="8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/>
    </w:rPr>
  </w:style>
  <w:style w:type="character" w:customStyle="1" w:styleId="a6">
    <w:name w:val="Название Знак"/>
    <w:link w:val="a5"/>
    <w:rPr>
      <w:rFonts w:ascii="Cambria" w:eastAsia="Times New Roman" w:hAnsi="Cambria"/>
      <w:b/>
      <w:bCs/>
      <w:sz w:val="32"/>
      <w:szCs w:val="32"/>
    </w:rPr>
  </w:style>
  <w:style w:type="character" w:customStyle="1" w:styleId="a8">
    <w:name w:val="Подзаголовок Знак"/>
    <w:link w:val="a7"/>
    <w:rPr>
      <w:rFonts w:ascii="Cambria" w:eastAsia="Times New Roman" w:hAnsi="Cambria"/>
      <w:sz w:val="24"/>
      <w:szCs w:val="24"/>
    </w:rPr>
  </w:style>
  <w:style w:type="character" w:styleId="afa">
    <w:name w:val="Strong"/>
    <w:rPr>
      <w:b/>
      <w:bCs/>
    </w:rPr>
  </w:style>
  <w:style w:type="character" w:styleId="afb">
    <w:name w:val="Emphasis"/>
    <w:rPr>
      <w:rFonts w:ascii="Calibri" w:hAnsi="Calibri"/>
      <w:b/>
      <w:i/>
      <w:iCs/>
    </w:rPr>
  </w:style>
  <w:style w:type="character" w:customStyle="1" w:styleId="22">
    <w:name w:val="Цитата 2 Знак"/>
    <w:link w:val="21"/>
    <w:rPr>
      <w:i/>
      <w:sz w:val="24"/>
      <w:szCs w:val="24"/>
    </w:rPr>
  </w:style>
  <w:style w:type="character" w:customStyle="1" w:styleId="aa">
    <w:name w:val="Выделенная цитата Знак"/>
    <w:link w:val="a9"/>
    <w:rPr>
      <w:b/>
      <w:i/>
      <w:sz w:val="24"/>
    </w:rPr>
  </w:style>
  <w:style w:type="character" w:styleId="afc">
    <w:name w:val="Subtle Emphasis"/>
    <w:rPr>
      <w:i/>
      <w:color w:val="5A5A5A"/>
    </w:rPr>
  </w:style>
  <w:style w:type="character" w:styleId="afd">
    <w:name w:val="Intense Emphasis"/>
    <w:rPr>
      <w:b/>
      <w:i/>
      <w:sz w:val="24"/>
      <w:szCs w:val="24"/>
      <w:u w:val="single"/>
    </w:rPr>
  </w:style>
  <w:style w:type="character" w:styleId="afe">
    <w:name w:val="Subtle Reference"/>
    <w:rPr>
      <w:sz w:val="24"/>
      <w:szCs w:val="24"/>
      <w:u w:val="single"/>
    </w:rPr>
  </w:style>
  <w:style w:type="character" w:styleId="aff">
    <w:name w:val="Intense Reference"/>
    <w:rPr>
      <w:b/>
      <w:sz w:val="24"/>
      <w:u w:val="single"/>
    </w:rPr>
  </w:style>
  <w:style w:type="character" w:styleId="aff0">
    <w:name w:val="Book Title"/>
    <w:rPr>
      <w:rFonts w:ascii="Cambria" w:eastAsia="Times New Roman" w:hAnsi="Cambria"/>
      <w:b/>
      <w:i/>
      <w:sz w:val="24"/>
      <w:szCs w:val="24"/>
    </w:rPr>
  </w:style>
  <w:style w:type="paragraph" w:styleId="aff1">
    <w:name w:val="Balloon Text"/>
    <w:basedOn w:val="a"/>
    <w:link w:val="aff2"/>
    <w:semiHidden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semiHidden/>
    <w:rPr>
      <w:rFonts w:ascii="Tahoma" w:hAnsi="Tahoma"/>
      <w:sz w:val="16"/>
      <w:szCs w:val="16"/>
    </w:rPr>
  </w:style>
  <w:style w:type="paragraph" w:customStyle="1" w:styleId="aff3">
    <w:name w:val="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33">
    <w:name w:val="Знак Знак3 Знак Знак"/>
    <w:basedOn w:val="a"/>
    <w:rPr>
      <w:rFonts w:ascii="Verdana" w:eastAsia="Times New Roman" w:hAnsi="Verdana"/>
      <w:lang w:val="en-US"/>
    </w:rPr>
  </w:style>
  <w:style w:type="character" w:customStyle="1" w:styleId="ac">
    <w:name w:val="Верхний колонтитул Знак"/>
    <w:link w:val="ab"/>
    <w:semiHidden/>
    <w:rPr>
      <w:sz w:val="24"/>
      <w:szCs w:val="24"/>
      <w:lang w:eastAsia="en-US"/>
    </w:rPr>
  </w:style>
  <w:style w:type="character" w:customStyle="1" w:styleId="ae">
    <w:name w:val="Нижний колонтитул Знак"/>
    <w:link w:val="ad"/>
    <w:semiHidden/>
    <w:rPr>
      <w:sz w:val="24"/>
      <w:szCs w:val="24"/>
      <w:lang w:eastAsia="en-US"/>
    </w:rPr>
  </w:style>
  <w:style w:type="paragraph" w:customStyle="1" w:styleId="2111111">
    <w:name w:val="Обычный (веб);Обычный (веб) Знак Знак;Обычный (веб) Знак;Обычный (веб) Знак Знак Знак;Обычный (веб) Знак2;Обычный (веб) Знак1 Знак1 Знак Знак Знак;Обычный (веб) Знак1 Знак1 Знак Знак Знак Знак Знак;Обычный (веб) Знак1 Знак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BodyText21">
    <w:name w:val="Body Text 21"/>
    <w:basedOn w:val="a"/>
    <w:pPr>
      <w:jc w:val="both"/>
    </w:pPr>
    <w:rPr>
      <w:rFonts w:ascii="Times New Roman" w:eastAsia="MS Mincho" w:hAnsi="Times New Roman"/>
      <w:sz w:val="28"/>
      <w:lang w:eastAsia="ru-RU"/>
    </w:rPr>
  </w:style>
  <w:style w:type="paragraph" w:styleId="aff4">
    <w:name w:val="Body Text"/>
    <w:basedOn w:val="a"/>
    <w:link w:val="aff5"/>
    <w:semiHidden/>
    <w:pPr>
      <w:spacing w:after="120"/>
    </w:pPr>
    <w:rPr>
      <w:rFonts w:ascii="Times New Roman" w:eastAsia="Times New Roman" w:hAnsi="Times New Roman"/>
      <w:lang w:val="en-US" w:eastAsia="ru-RU"/>
    </w:rPr>
  </w:style>
  <w:style w:type="character" w:customStyle="1" w:styleId="aff5">
    <w:name w:val="Основной текст Знак"/>
    <w:link w:val="aff4"/>
    <w:semiHidden/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Body Text Indent"/>
    <w:basedOn w:val="a"/>
    <w:link w:val="aff7"/>
    <w:pPr>
      <w:ind w:firstLine="720"/>
      <w:jc w:val="both"/>
    </w:pPr>
    <w:rPr>
      <w:rFonts w:ascii="Times New Roman" w:eastAsia="MS Mincho" w:hAnsi="Times New Roman"/>
      <w:sz w:val="28"/>
      <w:lang w:val="en-US"/>
    </w:rPr>
  </w:style>
  <w:style w:type="character" w:customStyle="1" w:styleId="aff7">
    <w:name w:val="Основной текст с отступом Знак"/>
    <w:link w:val="aff6"/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pple-converted-space">
    <w:name w:val="apple-converted-space"/>
    <w:basedOn w:val="a0"/>
  </w:style>
  <w:style w:type="character" w:customStyle="1" w:styleId="rvts7">
    <w:name w:val="rvts7"/>
  </w:style>
  <w:style w:type="paragraph" w:customStyle="1" w:styleId="43">
    <w:name w:val="заголовок 4"/>
    <w:basedOn w:val="a"/>
    <w:next w:val="a"/>
    <w:pPr>
      <w:keepNext/>
      <w:ind w:firstLine="1701"/>
      <w:jc w:val="both"/>
    </w:pPr>
    <w:rPr>
      <w:rFonts w:ascii="Bookman Old Style" w:eastAsia="Times New Roman" w:hAnsi="Bookman Old Style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13826</Characters>
  <Application>Microsoft Office Word</Application>
  <DocSecurity>0</DocSecurity>
  <Lines>115</Lines>
  <Paragraphs>32</Paragraphs>
  <ScaleCrop>false</ScaleCrop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2021-10-29T06:44:00Z</dcterms:created>
  <dcterms:modified xsi:type="dcterms:W3CDTF">2021-10-29T06:44:00Z</dcterms:modified>
</cp:coreProperties>
</file>